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90"/>
          <w:tab w:val="left" w:pos="2100"/>
          <w:tab w:val="left" w:pos="7140"/>
          <w:tab w:val="left" w:pos="7350"/>
          <w:tab w:val="left" w:pos="7560"/>
        </w:tabs>
        <w:jc w:val="center"/>
        <w:rPr>
          <w:rFonts w:hint="eastAsia" w:ascii="黑体" w:hAnsi="黑体" w:eastAsia="黑体"/>
          <w:b/>
          <w:sz w:val="36"/>
          <w:szCs w:val="36"/>
        </w:rPr>
      </w:pPr>
      <w:r>
        <w:rPr>
          <w:rFonts w:hint="eastAsia" w:ascii="黑体" w:hAnsi="黑体" w:eastAsia="黑体"/>
          <w:b/>
          <w:sz w:val="36"/>
          <w:szCs w:val="36"/>
        </w:rPr>
        <w:t>泰山学院</w:t>
      </w:r>
    </w:p>
    <w:p>
      <w:pPr>
        <w:tabs>
          <w:tab w:val="left" w:pos="1890"/>
          <w:tab w:val="left" w:pos="2100"/>
          <w:tab w:val="left" w:pos="7140"/>
          <w:tab w:val="left" w:pos="7350"/>
          <w:tab w:val="left" w:pos="7560"/>
        </w:tabs>
        <w:jc w:val="center"/>
        <w:rPr>
          <w:rFonts w:hint="eastAsia" w:ascii="黑体" w:hAnsi="黑体" w:eastAsia="黑体"/>
          <w:b/>
          <w:sz w:val="32"/>
          <w:szCs w:val="32"/>
        </w:rPr>
      </w:pPr>
      <w:r>
        <w:rPr>
          <w:rFonts w:hint="eastAsia" w:ascii="黑体" w:hAnsi="黑体" w:eastAsia="黑体"/>
          <w:b/>
          <w:sz w:val="32"/>
          <w:szCs w:val="32"/>
        </w:rPr>
        <w:t>历史与社会发展学院假期读书报告</w:t>
      </w:r>
    </w:p>
    <w:p>
      <w:pPr>
        <w:tabs>
          <w:tab w:val="left" w:pos="1890"/>
          <w:tab w:val="left" w:pos="2100"/>
          <w:tab w:val="left" w:pos="7140"/>
          <w:tab w:val="left" w:pos="7350"/>
          <w:tab w:val="left" w:pos="7560"/>
        </w:tabs>
        <w:jc w:val="center"/>
        <w:rPr>
          <w:rFonts w:hint="eastAsia"/>
          <w:b/>
          <w:sz w:val="36"/>
          <w:szCs w:val="36"/>
        </w:rPr>
      </w:pPr>
    </w:p>
    <w:p>
      <w:pPr>
        <w:tabs>
          <w:tab w:val="left" w:pos="1890"/>
          <w:tab w:val="left" w:pos="2100"/>
          <w:tab w:val="left" w:pos="7140"/>
          <w:tab w:val="left" w:pos="7350"/>
          <w:tab w:val="left" w:pos="7560"/>
        </w:tabs>
        <w:rPr>
          <w:rFonts w:hint="eastAsia"/>
          <w:b/>
          <w:sz w:val="36"/>
          <w:szCs w:val="36"/>
        </w:rPr>
      </w:pPr>
      <w:r>
        <w:rPr>
          <w:rFonts w:hint="eastAsia"/>
          <w:b/>
          <w:sz w:val="36"/>
          <w:szCs w:val="36"/>
        </w:rPr>
        <w:t>题目：《</w:t>
      </w:r>
      <w:r>
        <w:rPr>
          <w:rFonts w:hint="eastAsia"/>
          <w:b/>
          <w:sz w:val="36"/>
          <w:szCs w:val="36"/>
          <w:lang w:val="en-US" w:eastAsia="zh-CN"/>
        </w:rPr>
        <w:t>中国民俗文化</w:t>
      </w:r>
      <w:r>
        <w:rPr>
          <w:rFonts w:hint="eastAsia"/>
          <w:b/>
          <w:sz w:val="36"/>
          <w:szCs w:val="36"/>
        </w:rPr>
        <w:t>》读书报告</w:t>
      </w:r>
    </w:p>
    <w:p>
      <w:pPr>
        <w:spacing w:line="360" w:lineRule="auto"/>
        <w:rPr>
          <w:rFonts w:hint="eastAsia" w:ascii="黑体" w:hAnsi="宋体" w:eastAsia="黑体"/>
          <w:sz w:val="30"/>
          <w:szCs w:val="30"/>
        </w:rPr>
      </w:pPr>
    </w:p>
    <w:p>
      <w:pPr>
        <w:spacing w:line="360" w:lineRule="auto"/>
        <w:rPr>
          <w:rFonts w:hint="eastAsia" w:ascii="黑体" w:hAnsi="宋体" w:eastAsia="黑体"/>
          <w:sz w:val="30"/>
          <w:szCs w:val="30"/>
        </w:rPr>
      </w:pPr>
    </w:p>
    <w:p>
      <w:pPr>
        <w:spacing w:line="360" w:lineRule="auto"/>
        <w:rPr>
          <w:rFonts w:hint="eastAsia" w:ascii="黑体" w:hAnsi="宋体" w:eastAsia="黑体"/>
          <w:sz w:val="30"/>
          <w:szCs w:val="30"/>
        </w:rPr>
      </w:pPr>
    </w:p>
    <w:p>
      <w:pPr>
        <w:spacing w:line="360" w:lineRule="auto"/>
        <w:rPr>
          <w:rFonts w:hint="eastAsia" w:ascii="黑体" w:hAnsi="宋体" w:eastAsia="黑体"/>
          <w:sz w:val="30"/>
          <w:szCs w:val="30"/>
        </w:rPr>
      </w:pPr>
    </w:p>
    <w:p>
      <w:pPr>
        <w:spacing w:line="360" w:lineRule="auto"/>
        <w:jc w:val="left"/>
        <w:rPr>
          <w:rFonts w:ascii="黑体" w:hAnsi="宋体" w:eastAsia="黑体"/>
          <w:sz w:val="30"/>
          <w:szCs w:val="30"/>
          <w:u w:val="single"/>
        </w:rPr>
      </w:pPr>
      <w:r>
        <w:rPr>
          <w:rFonts w:hint="eastAsia" w:ascii="黑体" w:hAnsi="宋体" w:eastAsia="黑体"/>
          <w:sz w:val="30"/>
          <w:szCs w:val="30"/>
        </w:rPr>
        <w:t>专    业    名    称</w:t>
      </w:r>
      <w:r>
        <w:rPr>
          <w:rFonts w:hint="eastAsia" w:ascii="黑体" w:hAnsi="宋体" w:eastAsia="黑体"/>
          <w:sz w:val="30"/>
          <w:szCs w:val="30"/>
          <w:u w:val="single"/>
        </w:rPr>
        <w:t xml:space="preserve">    文物与博物馆学         </w:t>
      </w:r>
    </w:p>
    <w:p>
      <w:pPr>
        <w:spacing w:line="360" w:lineRule="auto"/>
        <w:jc w:val="left"/>
        <w:rPr>
          <w:rFonts w:ascii="黑体" w:hAnsi="宋体" w:eastAsia="黑体"/>
          <w:spacing w:val="72"/>
          <w:sz w:val="30"/>
          <w:szCs w:val="30"/>
        </w:rPr>
      </w:pPr>
      <w:r>
        <w:rPr>
          <w:rFonts w:hint="eastAsia" w:ascii="黑体" w:hAnsi="宋体" w:eastAsia="黑体"/>
          <w:sz w:val="30"/>
          <w:szCs w:val="30"/>
        </w:rPr>
        <w:t>年                级</w:t>
      </w:r>
      <w:r>
        <w:rPr>
          <w:rFonts w:hint="eastAsia" w:ascii="黑体" w:hAnsi="宋体" w:eastAsia="黑体"/>
          <w:sz w:val="30"/>
          <w:szCs w:val="30"/>
          <w:u w:val="single"/>
        </w:rPr>
        <w:t xml:space="preserve">     </w:t>
      </w:r>
      <w:r>
        <w:rPr>
          <w:rFonts w:hint="eastAsia" w:ascii="黑体" w:hAnsi="宋体" w:eastAsia="黑体"/>
          <w:sz w:val="30"/>
          <w:szCs w:val="30"/>
          <w:u w:val="single"/>
          <w:lang w:val="en-US" w:eastAsia="zh-CN"/>
        </w:rPr>
        <w:t xml:space="preserve"> </w:t>
      </w:r>
      <w:r>
        <w:rPr>
          <w:rFonts w:hint="eastAsia" w:ascii="黑体" w:hAnsi="宋体" w:eastAsia="黑体"/>
          <w:sz w:val="30"/>
          <w:szCs w:val="30"/>
          <w:u w:val="single"/>
        </w:rPr>
        <w:t xml:space="preserve">2016级               </w:t>
      </w:r>
    </w:p>
    <w:p>
      <w:pPr>
        <w:spacing w:line="360" w:lineRule="auto"/>
        <w:jc w:val="left"/>
        <w:rPr>
          <w:rFonts w:ascii="黑体" w:hAnsi="宋体" w:eastAsia="黑体"/>
          <w:sz w:val="30"/>
          <w:szCs w:val="30"/>
        </w:rPr>
      </w:pPr>
      <w:r>
        <w:rPr>
          <w:rFonts w:hint="eastAsia" w:ascii="黑体" w:hAnsi="宋体" w:eastAsia="黑体"/>
          <w:spacing w:val="80"/>
          <w:sz w:val="30"/>
          <w:szCs w:val="30"/>
        </w:rPr>
        <w:t>学生姓名、学</w:t>
      </w:r>
      <w:r>
        <w:rPr>
          <w:rFonts w:hint="eastAsia" w:ascii="黑体" w:hAnsi="宋体" w:eastAsia="黑体"/>
          <w:sz w:val="30"/>
          <w:szCs w:val="30"/>
        </w:rPr>
        <w:t>号</w:t>
      </w:r>
      <w:r>
        <w:rPr>
          <w:rFonts w:hint="eastAsia" w:ascii="黑体" w:hAnsi="宋体" w:eastAsia="黑体"/>
          <w:spacing w:val="60"/>
          <w:sz w:val="30"/>
          <w:szCs w:val="30"/>
          <w:u w:val="single"/>
        </w:rPr>
        <w:t xml:space="preserve">  </w:t>
      </w:r>
      <w:r>
        <w:rPr>
          <w:rFonts w:hint="eastAsia" w:ascii="黑体" w:hAnsi="宋体" w:eastAsia="黑体"/>
          <w:spacing w:val="60"/>
          <w:sz w:val="30"/>
          <w:szCs w:val="30"/>
          <w:u w:val="single"/>
          <w:lang w:val="en-US" w:eastAsia="zh-CN"/>
        </w:rPr>
        <w:t xml:space="preserve">  王惠</w:t>
      </w:r>
      <w:r>
        <w:rPr>
          <w:rFonts w:hint="eastAsia" w:ascii="黑体" w:hAnsi="宋体" w:eastAsia="黑体"/>
          <w:spacing w:val="60"/>
          <w:sz w:val="30"/>
          <w:szCs w:val="30"/>
          <w:u w:val="single"/>
        </w:rPr>
        <w:t xml:space="preserve">      </w:t>
      </w:r>
      <w:r>
        <w:rPr>
          <w:rFonts w:hint="eastAsia" w:ascii="黑体" w:hAnsi="宋体" w:eastAsia="黑体"/>
          <w:sz w:val="30"/>
          <w:szCs w:val="30"/>
          <w:u w:val="single"/>
        </w:rPr>
        <w:t xml:space="preserve"> </w:t>
      </w:r>
    </w:p>
    <w:p>
      <w:pPr>
        <w:spacing w:line="360" w:lineRule="auto"/>
        <w:jc w:val="left"/>
        <w:rPr>
          <w:rFonts w:ascii="黑体" w:hAnsi="宋体" w:eastAsia="黑体"/>
          <w:spacing w:val="8"/>
          <w:sz w:val="30"/>
          <w:szCs w:val="30"/>
          <w:u w:val="single"/>
        </w:rPr>
      </w:pPr>
      <w:r>
        <w:rPr>
          <w:rFonts w:hint="eastAsia" w:ascii="黑体" w:hAnsi="宋体" w:eastAsia="黑体"/>
          <w:spacing w:val="29"/>
          <w:sz w:val="30"/>
          <w:szCs w:val="30"/>
        </w:rPr>
        <w:t>指    导  教  师</w:t>
      </w:r>
      <w:r>
        <w:rPr>
          <w:rFonts w:hint="eastAsia" w:ascii="黑体" w:hAnsi="宋体" w:eastAsia="黑体"/>
          <w:spacing w:val="8"/>
          <w:sz w:val="30"/>
          <w:szCs w:val="30"/>
          <w:u w:val="single"/>
        </w:rPr>
        <w:t xml:space="preserve">  </w:t>
      </w:r>
      <w:r>
        <w:rPr>
          <w:rFonts w:hint="eastAsia" w:ascii="黑体" w:hAnsi="宋体" w:eastAsia="黑体"/>
          <w:sz w:val="30"/>
          <w:szCs w:val="30"/>
          <w:u w:val="single"/>
        </w:rPr>
        <w:t xml:space="preserve">    李志刚               </w:t>
      </w:r>
    </w:p>
    <w:p>
      <w:pPr>
        <w:jc w:val="left"/>
        <w:rPr>
          <w:rFonts w:hint="eastAsia" w:ascii="黑体" w:hAnsi="宋体" w:eastAsia="黑体"/>
          <w:sz w:val="30"/>
          <w:szCs w:val="30"/>
          <w:u w:val="single"/>
        </w:rPr>
      </w:pPr>
      <w:r>
        <w:rPr>
          <w:rFonts w:hint="eastAsia" w:ascii="黑体" w:hAnsi="宋体" w:eastAsia="黑体"/>
          <w:spacing w:val="12"/>
          <w:sz w:val="30"/>
          <w:szCs w:val="30"/>
        </w:rPr>
        <w:t>完    成   日   期</w:t>
      </w:r>
      <w:r>
        <w:rPr>
          <w:rFonts w:hint="eastAsia" w:ascii="黑体" w:hAnsi="宋体" w:eastAsia="黑体"/>
          <w:sz w:val="30"/>
          <w:szCs w:val="30"/>
          <w:u w:val="single"/>
        </w:rPr>
        <w:t xml:space="preserve">     2017.2.15             </w:t>
      </w:r>
    </w:p>
    <w:p>
      <w:pPr>
        <w:ind w:firstLine="750" w:firstLineChars="250"/>
        <w:jc w:val="left"/>
        <w:rPr>
          <w:rFonts w:hint="eastAsia" w:ascii="黑体" w:hAnsi="宋体" w:eastAsia="黑体"/>
          <w:sz w:val="30"/>
          <w:szCs w:val="30"/>
          <w:u w:val="single"/>
        </w:rPr>
      </w:pPr>
    </w:p>
    <w:p>
      <w:pPr>
        <w:ind w:firstLine="750" w:firstLineChars="250"/>
        <w:jc w:val="left"/>
        <w:rPr>
          <w:rFonts w:hint="eastAsia" w:ascii="黑体" w:hAnsi="宋体" w:eastAsia="黑体"/>
          <w:sz w:val="30"/>
          <w:szCs w:val="30"/>
          <w:u w:val="single"/>
        </w:rPr>
      </w:pPr>
    </w:p>
    <w:p>
      <w:pPr>
        <w:ind w:firstLine="750" w:firstLineChars="250"/>
        <w:rPr>
          <w:rFonts w:hint="eastAsia" w:ascii="黑体" w:hAnsi="宋体" w:eastAsia="黑体"/>
          <w:sz w:val="30"/>
          <w:szCs w:val="30"/>
          <w:u w:val="single"/>
        </w:rPr>
      </w:pPr>
    </w:p>
    <w:p>
      <w:pPr>
        <w:ind w:firstLine="750" w:firstLineChars="250"/>
        <w:rPr>
          <w:rFonts w:hint="eastAsia" w:ascii="黑体" w:hAnsi="宋体" w:eastAsia="黑体"/>
          <w:sz w:val="30"/>
          <w:szCs w:val="30"/>
          <w:u w:val="single"/>
        </w:rPr>
      </w:pPr>
    </w:p>
    <w:p>
      <w:pPr>
        <w:rPr>
          <w:rFonts w:hint="eastAsia" w:ascii="黑体" w:hAnsi="宋体" w:eastAsia="黑体"/>
          <w:sz w:val="30"/>
          <w:szCs w:val="30"/>
          <w:u w:val="single"/>
        </w:rPr>
      </w:pPr>
    </w:p>
    <w:p>
      <w:pPr>
        <w:ind w:firstLine="900" w:firstLineChars="300"/>
        <w:rPr>
          <w:sz w:val="24"/>
        </w:rPr>
      </w:pPr>
      <w:r>
        <w:rPr>
          <w:rFonts w:hint="eastAsia" w:ascii="黑体" w:hAnsi="宋体" w:eastAsia="黑体"/>
          <w:sz w:val="30"/>
          <w:szCs w:val="30"/>
          <w:u w:val="single"/>
        </w:rPr>
        <w:t xml:space="preserve">成绩：                              </w:t>
      </w:r>
      <w:r>
        <w:rPr>
          <w:sz w:val="24"/>
        </w:rPr>
        <w:t xml:space="preserve">  </w:t>
      </w: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p>
    <w:p>
      <w:pPr>
        <w:ind w:firstLine="900" w:firstLineChars="300"/>
        <w:rPr>
          <w:sz w:val="24"/>
        </w:rPr>
      </w:pPr>
      <w:bookmarkStart w:id="0" w:name="_GoBack"/>
      <w:bookmarkEnd w:id="0"/>
    </w:p>
    <w:p>
      <w:pPr>
        <w:ind w:firstLine="900" w:firstLineChars="300"/>
        <w:rPr>
          <w:sz w:val="24"/>
        </w:rPr>
      </w:pPr>
    </w:p>
    <w:p>
      <w:pPr>
        <w:ind w:firstLine="900" w:firstLineChars="300"/>
        <w:rPr>
          <w:sz w:val="24"/>
        </w:rPr>
      </w:pPr>
    </w:p>
    <w:p>
      <w:pPr>
        <w:ind w:firstLine="900" w:firstLineChars="300"/>
        <w:jc w:val="both"/>
      </w:pPr>
    </w:p>
    <w:p>
      <w:pPr>
        <w:pStyle w:val="2"/>
        <w:jc w:val="center"/>
        <w:rPr>
          <w:rFonts w:hint="eastAsia"/>
          <w:lang w:val="en-US" w:eastAsia="zh-CN"/>
        </w:rPr>
      </w:pPr>
      <w:r>
        <w:rPr>
          <w:rFonts w:hint="eastAsia"/>
          <w:lang w:val="en-US" w:eastAsia="zh-CN"/>
        </w:rPr>
        <w:t>《中国民俗文化》读书报告</w:t>
      </w:r>
    </w:p>
    <w:p>
      <w:pPr>
        <w:jc w:val="both"/>
        <w:rPr>
          <w:rStyle w:val="8"/>
          <w:rFonts w:hint="eastAsia" w:ascii="楷体" w:hAnsi="楷体" w:eastAsia="楷体" w:cs="楷体"/>
          <w:sz w:val="21"/>
          <w:szCs w:val="21"/>
          <w:lang w:val="en-US" w:eastAsia="zh-CN"/>
        </w:rPr>
      </w:pPr>
      <w:r>
        <w:rPr>
          <w:rStyle w:val="8"/>
          <w:rFonts w:hint="eastAsia" w:asciiTheme="minorAscii"/>
          <w:lang w:val="en-US" w:eastAsia="zh-CN"/>
        </w:rPr>
        <w:t xml:space="preserve">                          </w:t>
      </w:r>
      <w:r>
        <w:rPr>
          <w:rStyle w:val="8"/>
          <w:rFonts w:hint="eastAsia" w:ascii="楷体" w:hAnsi="楷体" w:eastAsia="楷体" w:cs="楷体"/>
          <w:sz w:val="21"/>
          <w:szCs w:val="21"/>
          <w:lang w:val="en-US" w:eastAsia="zh-CN"/>
        </w:rPr>
        <w:t xml:space="preserve"> 王惠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pPr>
      <w:r>
        <w:rPr>
          <w:rFonts w:hint="eastAsia" w:asciiTheme="minorAscii" w:hAnsiTheme="majorEastAsia" w:eastAsiaTheme="majorEastAsia" w:cstheme="majorEastAsia"/>
          <w:color w:val="000000" w:themeColor="text1"/>
          <w:sz w:val="21"/>
          <w:szCs w:val="21"/>
          <w:lang w:val="en-US" w:eastAsia="zh-CN"/>
          <w14:textFill>
            <w14:solidFill>
              <w14:schemeClr w14:val="tx1"/>
            </w14:solidFill>
          </w14:textFill>
        </w:rPr>
        <w:t>《中国民俗文化》作者柯玲。</w:t>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柯玲 (1931.10—2001.10)女，广东省汕头市人，擅长连环画。1955年</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"http://baike.baidu.com/item/%E4%B8%8A%E6%B5%B7%E7%BE%8E%E6%9C%AF%E4%B8%93%E7%A7%91%E5%AD%A6%E6%A0%A1"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上海美术专科学校</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毕业，历任</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"http://baike.baidu.com/item/%E8%BE%BD%E5%AE%81%E7%BE%8E%E6%9C%AF%E5%87%BA%E7%89%88%E7%A4%BE"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辽宁美术出版社</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"http://baike.baidu.com/item/%E7%A6%8F%E5%BB%BA%E4%BA%BA%E6%B0%91%E5%87%BA%E7%89%88%E7%A4%BE"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福建人民出版社</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"http://baike.baidu.com/item/%E7%A6%8F%E5%BB%BA%E7%BE%8E%E6%9C%AF%E5%87%BA%E7%89%88%E7%A4%BE"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福建美术出版社</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创作员、副编审等。作品有《</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"http://baike.baidu.com/item/%E9%99%88%E5%BA%B7%E5%AE%B9"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陈康容</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"http://baike.baidu.com/item/%E7%83%88%E5%A3%AB"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烈士</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"http://baike.baidu.com/item/%E9%9C%B8%E7%8E%8B%E5%88%AB%E5%A7%AC/6144"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霸王别姬</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》、《金色的海滩》、《</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"http://baike.baidu.com/item/%E5%B1%B1%E5%A4%96%E5%B1%B1"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山外山</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"http://baike.baidu.com/item/%E8%A5%BF%E6%96%BD%E6%B5%A3%E7%BA%B1"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西施浣纱</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"http://baike.baidu.com/item/%E9%87%8E%E6%B3%89"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野泉</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"http://baike.baidu.com/item/%E5%A4%A7%E7%8E%8B/33364"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大王</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与</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"http://baike.baidu.com/item/%E7%8E%89%E5%A5%B3/10168029"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玉女</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"http://baike.baidu.com/item/%E6%A2%A6%E5%B9%BB/70422"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梦幻</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"http://baike.baidu.com/item/%E7%A7%8B%E9%9F%B5"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秋韵</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begin"/>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instrText xml:space="preserve"> HYPERLINK "http://baike.baidu.com/item/%E6%88%90%E4%BB%99/9969689" \t "http://baike.baidu.com/item/%E6%9F%AF%E7%8E%B2/_blank" </w:instrTex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separate"/>
      </w:r>
      <w:r>
        <w:rPr>
          <w:rStyle w:val="5"/>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t>成仙</w:t>
      </w:r>
      <w:r>
        <w:rPr>
          <w:rFonts w:hint="eastAsia" w:asciiTheme="minorAscii" w:hAnsiTheme="majorEastAsia" w:eastAsiaTheme="majorEastAsia" w:cstheme="majorEastAsia"/>
          <w:b w:val="0"/>
          <w:i w:val="0"/>
          <w:caps w:val="0"/>
          <w:color w:val="000000" w:themeColor="text1"/>
          <w:spacing w:val="0"/>
          <w:sz w:val="21"/>
          <w:szCs w:val="21"/>
          <w:u w:val="none"/>
          <w:shd w:val="clear" w:fill="FFFFFF"/>
          <w14:textFill>
            <w14:solidFill>
              <w14:schemeClr w14:val="tx1"/>
            </w14:solidFill>
          </w14:textFill>
        </w:rPr>
        <w:fldChar w:fldCharType="end"/>
      </w:r>
      <w:r>
        <w:rPr>
          <w:rFonts w:hint="eastAsia" w:asciiTheme="minorAscii" w:hAnsiTheme="majorEastAsia" w:eastAsiaTheme="majorEastAsia" w:cstheme="majorEastAsia"/>
          <w:b w:val="0"/>
          <w:i w:val="0"/>
          <w:caps w:val="0"/>
          <w:color w:val="000000" w:themeColor="text1"/>
          <w:spacing w:val="0"/>
          <w:sz w:val="21"/>
          <w:szCs w:val="21"/>
          <w:shd w:val="clear" w:fill="FFFFFF"/>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hAnsiTheme="majorEastAsia" w:eastAsiaTheme="majorEastAsia" w:cstheme="majorEastAsia"/>
          <w:color w:val="002060"/>
          <w:sz w:val="21"/>
          <w:szCs w:val="21"/>
          <w:lang w:val="en-US" w:eastAsia="zh-CN"/>
        </w:rPr>
      </w:pPr>
      <w:r>
        <w:rPr>
          <w:rFonts w:hint="eastAsia" w:asciiTheme="minorAscii" w:hAnsiTheme="majorEastAsia" w:eastAsiaTheme="majorEastAsia" w:cstheme="majorEastAsia"/>
          <w:color w:val="000000" w:themeColor="text1"/>
          <w:sz w:val="21"/>
          <w:szCs w:val="21"/>
          <w:lang w:val="en-US" w:eastAsia="zh-CN"/>
          <w14:textFill>
            <w14:solidFill>
              <w14:schemeClr w14:val="tx1"/>
            </w14:solidFill>
          </w14:textFill>
        </w:rPr>
        <w:t>书中介绍中国民俗文化以先总后分的形式分为十四章，文章先总括提出中国民俗问化概说分别介绍民俗文化和中国民俗文化，后又把中国民俗文化分为日常生活、人生交际、岁时节日、生产贸易、社会组织、民俗信仰、娱乐、语言、民间文艺九大类。附录为中国民间四大传说，文章语言通俗易懂，结合具体的民俗实例，向我们表达源远流长、博大精深、各具特色的中国民俗文化，体现中国人的生活方式、文化模式和行为规范。文章由民俗文化引向中国民俗文化，民俗文化是世间广泛流传的各种民俗习惯的总称，具有象征性、传承性、集体性、区域性服务性、规范性等特征。其本质是活动是规矩是民间无形的法律，表现古着质朴、内涵奇异丰富、内容丰富多彩、形制礼俗一体、注重实用，。这些特质中国民俗文化也不例外，并且中国民俗文化中更显示出五十六个民族的别具一格的特色。</w:t>
      </w:r>
    </w:p>
    <w:p>
      <w:pPr>
        <w:pStyle w:val="3"/>
        <w:jc w:val="center"/>
        <w:rPr>
          <w:rFonts w:hint="eastAsia" w:asciiTheme="minorAscii"/>
          <w:lang w:val="en-US" w:eastAsia="zh-CN"/>
        </w:rPr>
      </w:pPr>
      <w:r>
        <w:rPr>
          <w:rFonts w:hint="eastAsia" w:asciiTheme="minorAscii"/>
          <w:lang w:val="en-US" w:eastAsia="zh-CN"/>
        </w:rPr>
        <w:t>中国民俗文化-----中国服饰民俗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生活离不开衣食住行，衣是重要表现随着社会生产力的发展，生活习俗、审美情趣、色彩、文化心态、宗教信仰等越来越多东西融入到服饰中，意蕴深厚。中国民俗文化具有实用性、人类民族性、仪式性、寓意性等特点。文中介绍了儿童服饰民俗、成人服饰民俗、少数民族服饰民俗与民俗服饰的特性一一对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儿童服饰中的毛衫、开裆裤、肚兜、背心，选材选择柔软的软棉布不缝边、不缝口是希望孩子能够自由成长另一方面是保护婴；婴儿穿的肚兜则是民俗服饰寓意性的体现，“五毒肚兜”在肚兜上绣上蝎子、蜈蚣、蛤蟆、蛇和壁虎五中毒虫，寓意以毒攻毒，这种图案上的习俗在某种角度上说具有图腾崇拜的色彩。新生婴儿要穿肚兜，娶媳妇定亲要送肚兜，本命年要穿红肚兜，寿终正寝后要给死者穿刺有青蛙、蟾蜍等图案的肚兜祈求好运，具有很强的寓意性、通用性。童鞋、童帽、头饰等既讲究实用，也讲究利用各种符号求吉祥，其中具有代表性的是狗头帽和虎头帽传说戴狗头帽更容易养活，戴虎头帽能茁壮成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8"/>
          <w:szCs w:val="28"/>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少数民俗服饰则对颜色、款型、刺绣图案、搭配什么样的配饰、什么样的年龄段穿什么样颜色，款型的衣服都有不一样的要求，但都以实用性为第一原则。例如傣族服饰服饰民俗，女子一般穿短衣和筒裙，简单、干练，方便日常生活、劳动。在少数民族中服饰也是年龄的标志，区分已婚未婚的标志，傣族服饰中不可缺少的“银带”，银带是由母亲传承下来的包含了浓浓的母爱，凡是已婚妇女银腰带上都挂有几把钥匙，未婚少女则不挂钥匙，少数民族文化是中国民俗文化的重要组成部分，它体现了不同于汉族的千百年来的文化传承</w:t>
      </w:r>
      <w:r>
        <w:rPr>
          <w:rFonts w:hint="eastAsia" w:asciiTheme="minorAscii"/>
          <w:color w:val="000000" w:themeColor="text1"/>
          <w:sz w:val="28"/>
          <w:szCs w:val="28"/>
          <w:lang w:val="en-US" w:eastAsia="zh-CN"/>
          <w14:textFill>
            <w14:solidFill>
              <w14:schemeClr w14:val="tx1"/>
            </w14:solidFill>
          </w14:textFill>
        </w:rPr>
        <w:t>。</w:t>
      </w:r>
    </w:p>
    <w:p>
      <w:pPr>
        <w:pStyle w:val="3"/>
        <w:jc w:val="center"/>
        <w:rPr>
          <w:rFonts w:hint="eastAsia" w:asciiTheme="minorAscii"/>
          <w:sz w:val="21"/>
          <w:szCs w:val="21"/>
          <w:lang w:val="en-US" w:eastAsia="zh-CN"/>
        </w:rPr>
      </w:pPr>
      <w:r>
        <w:rPr>
          <w:rFonts w:hint="eastAsia" w:asciiTheme="minorAscii"/>
          <w:lang w:val="en-US" w:eastAsia="zh-CN"/>
        </w:rPr>
        <w:t>中国民俗文化-----饮食民俗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民以食为天”，饮食民俗包括日常饮食民俗和节庆中的饮食民俗，饮食方式也有生食熟食之别。日常饮食又有主食、副食、饮品之分。由于地域差异出现了南北方的饮食差异，造就了中国各具特色的八大菜系鲁、川、粤、闽、苏、浙、湘、徽菜以及东北菜、西南菜、清真菜、朝鲜族菜、蒙古族菜等菜系。菜的口味、烹饪方法、火候、刀工、汤的调制、佐料、食材等又有不同的要求。如鲁菜口味偏重偏，技法擅长爆、扒，用料精广；徽菜则讲究火功、技法擅长烧、焖、炖；而扬州菜则口味清淡、主料突出、刀工精细，展现了不同的地域饮食习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日常饮食民俗具有重养、重礼、重利、重食的特点。注重养生之道、食疗作用，注重饮食礼节“食不言”要守规矩，趋利避祸的功利心态，不同的食材不同的寓意。在中国不同的节日有不同的节日饮食习俗，从节日民俗中体现出强烈的寓意性，中间掺杂了中国民俗信仰，如春节吃饺子寓意逢凶化吉、事事顺利，元宵节吃汤圆则表达了团聚、共享天伦的美好愿望。中国饮食民俗还包括饮酒、饮茶的习俗。各地不同的酒俗都表达出日常行为规范、美好的寓意、等级礼节、后被与前辈的关系等，而茶道更是值得我们去领悟，修身养性、茶中静悟、静心静性。泡茶、饮茶、奉茶等各种礼节、技巧体现的淋漓尽致，应和了饮食民俗中重礼、重养的特点。饮食民俗体现中国人注重修养的特点，讲究搭配、均衡、追求健康的特点。</w:t>
      </w:r>
    </w:p>
    <w:p>
      <w:pPr>
        <w:pStyle w:val="3"/>
        <w:jc w:val="center"/>
        <w:rPr>
          <w:rFonts w:hint="eastAsia" w:asciiTheme="minorAscii"/>
          <w:lang w:val="en-US" w:eastAsia="zh-CN"/>
        </w:rPr>
      </w:pPr>
      <w:r>
        <w:rPr>
          <w:rFonts w:hint="eastAsia" w:asciiTheme="minorAscii"/>
          <w:lang w:val="en-US" w:eastAsia="zh-CN"/>
        </w:rPr>
        <w:t>中国民俗文化-----居住民宿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中国人讲究“安居乐业”，对于居住尤为重视。中国跨纬度大，不同的自然环境和人文环境出现了南北方的居住差异，民居的类型有四合院式、干栏式、碉楼式、帐篷式、窑洞式、船形屋等。中国民居建筑具有实用性、审美性等特点，例如碉楼式建筑围楼圆形、方形外形美观，多层从下往上依次是厨房、储藏室、卧室具有很强的实用性，而且底层大都只开一个门为的是防御，建筑别具一格，不同汉族的民居，民族色彩浓厚。另一方面，民居的建造与搬迁有强烈的情感性，择基、家屋布置都讲究禁忌、风水、选择良辰吉日。如建房要择基、择日，地基要牢固，出水要通畅，后背要有靠山、房屋朝向、建房取单不取双，选择有生气的地方，与玄学相辅相成，建房时要举行隆重的上梁仪式，人文色彩、迷信色彩浓厚。</w:t>
      </w:r>
    </w:p>
    <w:p>
      <w:pPr>
        <w:pStyle w:val="3"/>
        <w:jc w:val="center"/>
        <w:rPr>
          <w:rFonts w:hint="eastAsia" w:asciiTheme="minorAscii"/>
          <w:lang w:val="en-US" w:eastAsia="zh-CN"/>
        </w:rPr>
      </w:pPr>
      <w:r>
        <w:rPr>
          <w:rFonts w:hint="eastAsia" w:asciiTheme="minorAscii"/>
          <w:lang w:val="en-US" w:eastAsia="zh-CN"/>
        </w:rPr>
        <w:t>中国民俗------人生交际礼仪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3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中国素来有礼仪之邦之称，礼仪更是数不胜数。人生礼仪分为出生礼仪、成年礼仪、婚俗礼仪、丧葬礼仪；交际礼仪包括礼貌用语、行为礼仪。这些礼仪具有约束作用，规范人们行为，是一种无形的法律，在种礼仪之下，提高人的素质，促进社会和谐。礼仪又具有传承性，从古至今在保留好的礼仪的基础上，随着社会的发展有注入新的活力，更好的为社会服务。礼仪习俗也具有地域性、民族性，在不同的地域中、不同的民族又存在不同的习俗、禁忌，体现出不同的民族、宗教信仰。例如丧葬方式中国传统观念是“入土为安”，死后要葬回自己的家乡；藏族则认为人死后灵魂升天要天葬，鄂伦春族、赫哲族则认为死者的孤魂游荡在森林里，所以就把死者放在树上或木架上三年后在进行土葬或火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3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论及谈婚论嫁，自古至今就有很多步骤。从古至今纳采、问名、纳吉、纳征、请期、亲迎到后来婚俗演变为迎娶、哭嫁、拜堂、合卺、闹洞房等。随着社会的发展，中外文化的交流与碰撞，中国婚俗也不断学习融合，逐渐变得简单。服饰也偶传统的服饰向婚纱的简单的服饰转变。婚俗的地域性明显，东北的“离娘亲”，上海的“撑伞”与换鞋，朝鲜族婚俗中的“奠燕礼”和“公鸡”，各具特色，分别代表着一方文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0" w:firstLineChars="3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社会经济的发展一些习俗正在退化甚至消失，在青少年成长过程中的礼节基本上退出了社会发展的舞台，中国古代的成年礼以消失，以前汉族女子的成年礼是笄礼将发辫盘至头顶用簪子插住作为成年标志，同时作为女子许嫁的标志；男子成年礼即加冠礼，汉刘向《说苑修文》中说“冠者，所以别成年人......君子始冠，必祝成礼，加冠以厉其心”，有指定的贵宾给男子加冠，想通过加冠礼来增强其毅力要学会自力更生，应承担更多的责任，加强其责任心。在今天大多数刚成年的人还没有要自力更生的能力，更没有承担责任的责任心，所以更突出了保护这些即将消失文化习俗的重要性。</w:t>
      </w:r>
    </w:p>
    <w:p>
      <w:pPr>
        <w:pStyle w:val="3"/>
        <w:jc w:val="center"/>
        <w:rPr>
          <w:rFonts w:hint="eastAsia" w:asciiTheme="minorAscii"/>
          <w:color w:val="0070C0"/>
          <w:szCs w:val="32"/>
          <w:lang w:val="en-US" w:eastAsia="zh-CN"/>
        </w:rPr>
      </w:pPr>
      <w:r>
        <w:rPr>
          <w:rFonts w:hint="eastAsia" w:asciiTheme="minorAscii"/>
          <w:lang w:val="en-US" w:eastAsia="zh-CN"/>
        </w:rPr>
        <w:t>中国民俗文化------中国民间信仰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8"/>
          <w:szCs w:val="28"/>
          <w:lang w:val="en-US" w:eastAsia="zh-CN"/>
          <w14:textFill>
            <w14:solidFill>
              <w14:schemeClr w14:val="tx1"/>
            </w14:solidFill>
          </w14:textFill>
        </w:rPr>
        <w:t xml:space="preserve">   </w:t>
      </w:r>
      <w:r>
        <w:rPr>
          <w:rFonts w:hint="eastAsia" w:asciiTheme="minorAscii"/>
          <w:color w:val="000000" w:themeColor="text1"/>
          <w:sz w:val="21"/>
          <w:szCs w:val="21"/>
          <w:lang w:val="en-US" w:eastAsia="zh-CN"/>
          <w14:textFill>
            <w14:solidFill>
              <w14:schemeClr w14:val="tx1"/>
            </w14:solidFill>
          </w14:textFill>
        </w:rPr>
        <w:t>中国民间信仰以诸神为主，民间诸神与宗教相结合，有佛教神、有道教神，但这些神有相互融合、相互渗透都扮演着实人愿的角色。在中国民间诸神有掺杂着一定的迷信色彩，把人的生老病死寄希望于神，片面夸大神的作用，驱除妖魔鬼怪等现实中不存在的东西，而统治者也通过神的作用宣扬自己的地位自称君权神授、天人感应，以此加强对社会的统治，所以出现了全社会对神的崇拜，对神的信奉又体现出严格的等级。在中国古代上层的人丰衣足食他们通过神表达他们对政治、地位的诉求，追求享乐、长生不老、强调天人感应，表现出他们无尽的贪婪；而生活在社会底层的人则由于冷酷的现实，通过神表达出他们对美好生活的向往。中国民间诸神都是正能量的代表，人们对神的敬仰表达他们对美好人格品质的追求，高尚的道德精神，除暴安良、正直勇敢，他们认为神就是完美人格的代表、是正义的化身，神间兼具了世间最美好的品质。神崇拜在一定程度上起到了维护社会稳定的作用，使人向上向善。民间信仰还包括民间禁忌和民间消灾。节日、数字、婚姻、丧葬、行业等诸多方面的禁忌，都表达平安顺利的追求，讲求吉利；民间消灾主要通过念咒、画符、下神、镇邪等带有宗教、迷信的色彩，部分地区消灾方式表达出他们的图腾崇拜。这些民间禁忌、消灾方式等都表达人们对幸福生活的追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 xml:space="preserve">    本书主要让我们了解中国民俗文化，而这些民俗带有宗教、信仰、政治、经济、人际交往等各个方面，主要通过举例子的形式，让我们去了解这些习俗，但是在高速发展的今天，一些习俗的逐渐消亡，更值得我们深思的是如何去保护这些文化习俗。</w:t>
      </w:r>
    </w:p>
    <w:p>
      <w:pPr>
        <w:jc w:val="left"/>
        <w:rPr>
          <w:rFonts w:hint="eastAsia" w:asciiTheme="minorAscii"/>
          <w:color w:val="000000" w:themeColor="text1"/>
          <w:sz w:val="21"/>
          <w:szCs w:val="21"/>
          <w:lang w:val="en-US" w:eastAsia="zh-CN"/>
          <w14:textFill>
            <w14:solidFill>
              <w14:schemeClr w14:val="tx1"/>
            </w14:solidFill>
          </w14:textFill>
        </w:rPr>
      </w:pPr>
      <w:r>
        <w:rPr>
          <w:rFonts w:hint="eastAsia" w:asciiTheme="minorAscii"/>
          <w:color w:val="000000" w:themeColor="text1"/>
          <w:sz w:val="21"/>
          <w:szCs w:val="21"/>
          <w:lang w:val="en-US" w:eastAsia="zh-CN"/>
          <w14:textFill>
            <w14:solidFill>
              <w14:schemeClr w14:val="tx1"/>
            </w14:solidFill>
          </w14:textFill>
        </w:rPr>
        <w:t xml:space="preserve">    </w:t>
      </w:r>
    </w:p>
    <w:p>
      <w:pPr>
        <w:pStyle w:val="3"/>
        <w:rPr>
          <w:rFonts w:hint="eastAsia"/>
          <w:lang w:val="en-US" w:eastAsia="zh-CN"/>
        </w:rPr>
      </w:pPr>
      <w:r>
        <w:rPr>
          <w:rFonts w:hint="eastAsia"/>
          <w:lang w:val="en-US" w:eastAsia="zh-CN"/>
        </w:rPr>
        <w:t>泰山学院历史与社会发展学院假期读书报告考核表</w:t>
      </w:r>
    </w:p>
    <w:tbl>
      <w:tblPr>
        <w:tblStyle w:val="7"/>
        <w:tblpPr w:leftFromText="180" w:rightFromText="180" w:vertAnchor="text" w:horzAnchor="page" w:tblpX="1417" w:tblpY="596"/>
        <w:tblOverlap w:val="never"/>
        <w:tblW w:w="9460"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414"/>
        <w:gridCol w:w="1414"/>
        <w:gridCol w:w="1414"/>
        <w:gridCol w:w="141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883"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学生姓名</w:t>
            </w:r>
          </w:p>
        </w:tc>
        <w:tc>
          <w:tcPr>
            <w:tcW w:w="1414"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王惠</w:t>
            </w:r>
          </w:p>
        </w:tc>
        <w:tc>
          <w:tcPr>
            <w:tcW w:w="1414"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班级</w:t>
            </w:r>
          </w:p>
        </w:tc>
        <w:tc>
          <w:tcPr>
            <w:tcW w:w="1414"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文物与博物馆学班</w:t>
            </w:r>
          </w:p>
        </w:tc>
        <w:tc>
          <w:tcPr>
            <w:tcW w:w="1414"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学号</w:t>
            </w:r>
          </w:p>
        </w:tc>
        <w:tc>
          <w:tcPr>
            <w:tcW w:w="1921"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2016033014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297" w:type="dxa"/>
            <w:gridSpan w:val="2"/>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（所读）书名</w:t>
            </w:r>
          </w:p>
        </w:tc>
        <w:tc>
          <w:tcPr>
            <w:tcW w:w="1414" w:type="dxa"/>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作者</w:t>
            </w:r>
          </w:p>
        </w:tc>
        <w:tc>
          <w:tcPr>
            <w:tcW w:w="2828" w:type="dxa"/>
            <w:gridSpan w:val="2"/>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出版社</w:t>
            </w:r>
          </w:p>
        </w:tc>
        <w:tc>
          <w:tcPr>
            <w:tcW w:w="1921"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297" w:type="dxa"/>
            <w:gridSpan w:val="2"/>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《中国民俗文化》</w:t>
            </w:r>
          </w:p>
        </w:tc>
        <w:tc>
          <w:tcPr>
            <w:tcW w:w="1414" w:type="dxa"/>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柯玲</w:t>
            </w:r>
          </w:p>
        </w:tc>
        <w:tc>
          <w:tcPr>
            <w:tcW w:w="2828" w:type="dxa"/>
            <w:gridSpan w:val="2"/>
          </w:tcPr>
          <w:p>
            <w:pPr>
              <w:jc w:val="center"/>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北京大学出版社</w:t>
            </w:r>
          </w:p>
        </w:tc>
        <w:tc>
          <w:tcPr>
            <w:tcW w:w="1921"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2011年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8" w:hRule="atLeast"/>
        </w:trPr>
        <w:tc>
          <w:tcPr>
            <w:tcW w:w="1883"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读书报告的主要内容及创新</w:t>
            </w:r>
          </w:p>
        </w:tc>
        <w:tc>
          <w:tcPr>
            <w:tcW w:w="7577" w:type="dxa"/>
            <w:gridSpan w:val="5"/>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 xml:space="preserve">  书中首先介绍了民俗文化在世界范围内的定义，从而引出中国民俗文化，以总分的形式，分为十四个章节介绍，从衣、食、住、行、社会组织、民间信仰、娱乐、民间艺术等九个方面系统介绍中国民俗文化，通过列举实例形象生动易于理解，通过追其根源、对比等方式向我们表达博大精深、源远流长的中国民俗文化。全书通俗易懂，适合作为初步了解中国民俗文化的入门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3" w:hRule="atLeast"/>
        </w:trPr>
        <w:tc>
          <w:tcPr>
            <w:tcW w:w="1883"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指导教师评语及成绩</w:t>
            </w:r>
          </w:p>
        </w:tc>
        <w:tc>
          <w:tcPr>
            <w:tcW w:w="7577" w:type="dxa"/>
            <w:gridSpan w:val="5"/>
          </w:tcPr>
          <w:p>
            <w:pPr>
              <w:jc w:val="left"/>
              <w:rPr>
                <w:rFonts w:hint="eastAsia"/>
                <w:color w:val="000000" w:themeColor="text1"/>
                <w:sz w:val="28"/>
                <w:szCs w:val="28"/>
                <w:vertAlign w:val="baseline"/>
                <w:lang w:val="en-US" w:eastAsia="zh-CN"/>
                <w14:textFill>
                  <w14:solidFill>
                    <w14:schemeClr w14:val="tx1"/>
                  </w14:solidFill>
                </w14:textFill>
              </w:rPr>
            </w:pPr>
          </w:p>
          <w:p>
            <w:pPr>
              <w:rPr>
                <w:rFonts w:hint="eastAsia"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p>
          <w:p>
            <w:pPr>
              <w:rPr>
                <w:rFonts w:hint="eastAsia"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p>
          <w:p>
            <w:pPr>
              <w:rPr>
                <w:rFonts w:hint="eastAsia"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p>
          <w:p>
            <w:pPr>
              <w:ind w:firstLine="313" w:firstLineChars="0"/>
              <w:jc w:val="left"/>
              <w:rPr>
                <w:rFonts w:hint="eastAsia" w:cstheme="minorBidi"/>
                <w:color w:val="000000" w:themeColor="text1"/>
                <w:kern w:val="2"/>
                <w:sz w:val="28"/>
                <w:szCs w:val="28"/>
                <w:vertAlign w:val="baseline"/>
                <w:lang w:val="en-US" w:eastAsia="zh-CN" w:bidi="ar-SA"/>
                <w14:textFill>
                  <w14:solidFill>
                    <w14:schemeClr w14:val="tx1"/>
                  </w14:solidFill>
                </w14:textFill>
              </w:rPr>
            </w:pPr>
            <w:r>
              <w:rPr>
                <w:rFonts w:hint="eastAsia" w:cstheme="minorBidi"/>
                <w:color w:val="000000" w:themeColor="text1"/>
                <w:kern w:val="2"/>
                <w:sz w:val="28"/>
                <w:szCs w:val="28"/>
                <w:vertAlign w:val="baseline"/>
                <w:lang w:val="en-US" w:eastAsia="zh-CN" w:bidi="ar-SA"/>
                <w14:textFill>
                  <w14:solidFill>
                    <w14:schemeClr w14:val="tx1"/>
                  </w14:solidFill>
                </w14:textFill>
              </w:rPr>
              <w:t>成绩                     指导教师（签字）</w:t>
            </w:r>
          </w:p>
          <w:p>
            <w:pPr>
              <w:ind w:firstLine="313" w:firstLineChars="0"/>
              <w:jc w:val="left"/>
              <w:rPr>
                <w:rFonts w:hint="eastAsia"/>
                <w:lang w:val="en-US" w:eastAsia="zh-CN"/>
              </w:rPr>
            </w:pPr>
            <w:r>
              <w:rPr>
                <w:rFonts w:hint="eastAsia" w:cstheme="minorBidi"/>
                <w:color w:val="000000" w:themeColor="text1"/>
                <w:kern w:val="2"/>
                <w:sz w:val="28"/>
                <w:szCs w:val="28"/>
                <w:vertAlign w:val="baseline"/>
                <w:lang w:val="en-US" w:eastAsia="zh-CN" w:bidi="ar-SA"/>
                <w14:textFill>
                  <w14:solidFill>
                    <w14:schemeClr w14:val="tx1"/>
                  </w14:solidFill>
                </w14:textFill>
              </w:rPr>
              <w:t xml:space="preserve">                                   年   月   日</w:t>
            </w:r>
            <w:r>
              <w:rPr>
                <w:rFonts w:hint="eastAsia" w:cstheme="minorBidi"/>
                <w:color w:val="000000" w:themeColor="text1"/>
                <w:kern w:val="2"/>
                <w:sz w:val="28"/>
                <w:szCs w:val="28"/>
                <w:vertAlign w:val="baseline"/>
                <w:lang w:val="en-US" w:eastAsia="zh-CN" w:bidi="ar-SA"/>
                <w14:textFill>
                  <w14:solidFill>
                    <w14:schemeClr w14:val="tx1"/>
                  </w14:solidFill>
                </w14:textFill>
              </w:rPr>
              <w:br w:type="textWrapping"/>
            </w:r>
            <w:r>
              <w:rPr>
                <w:rFonts w:hint="eastAsia" w:cstheme="minorBidi"/>
                <w:color w:val="000000" w:themeColor="text1"/>
                <w:kern w:val="2"/>
                <w:sz w:val="28"/>
                <w:szCs w:val="28"/>
                <w:vertAlign w:val="baseline"/>
                <w:lang w:val="en-US" w:eastAsia="zh-CN" w:bidi="ar-SA"/>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883" w:type="dxa"/>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学院复核意见</w:t>
            </w:r>
          </w:p>
        </w:tc>
        <w:tc>
          <w:tcPr>
            <w:tcW w:w="7577" w:type="dxa"/>
            <w:gridSpan w:val="5"/>
          </w:tcPr>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 xml:space="preserve">                    泰山学院历史与社会发展学院（章）</w:t>
            </w:r>
          </w:p>
          <w:p>
            <w:pPr>
              <w:jc w:val="left"/>
              <w:rPr>
                <w:rFonts w:hint="eastAsia"/>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 xml:space="preserve">                               年    月    日                                                 </w:t>
            </w:r>
          </w:p>
        </w:tc>
      </w:tr>
    </w:tbl>
    <w:p>
      <w:pPr>
        <w:jc w:val="left"/>
        <w:rPr>
          <w:rFonts w:hint="eastAsia"/>
          <w:color w:val="000000" w:themeColor="text1"/>
          <w:sz w:val="28"/>
          <w:szCs w:val="28"/>
          <w:lang w:val="en-US" w:eastAsia="zh-CN"/>
          <w14:textFill>
            <w14:solidFill>
              <w14:schemeClr w14:val="tx1"/>
            </w14:solidFill>
          </w14:textFill>
        </w:rPr>
      </w:pPr>
    </w:p>
    <w:p>
      <w:pPr>
        <w:jc w:val="left"/>
        <w:rPr>
          <w:rFonts w:hint="eastAsia"/>
          <w:color w:val="000000" w:themeColor="text1"/>
          <w:sz w:val="36"/>
          <w:szCs w:val="36"/>
          <w:lang w:val="en-US" w:eastAsia="zh-CN"/>
          <w14:textFill>
            <w14:solidFill>
              <w14:schemeClr w14:val="tx1"/>
            </w14:solidFill>
          </w14:textFill>
        </w:rPr>
      </w:pPr>
    </w:p>
    <w:p>
      <w:pPr>
        <w:jc w:val="center"/>
        <w:rPr>
          <w:rFonts w:hint="eastAsia"/>
          <w:color w:val="000000" w:themeColor="text1"/>
          <w:sz w:val="36"/>
          <w:szCs w:val="36"/>
          <w:lang w:val="en-US" w:eastAsia="zh-CN"/>
          <w14:textFill>
            <w14:solidFill>
              <w14:schemeClr w14:val="tx1"/>
            </w14:solidFill>
          </w14:textFill>
        </w:rPr>
      </w:pPr>
    </w:p>
    <w:p>
      <w:pPr>
        <w:jc w:val="center"/>
        <w:rPr>
          <w:rFonts w:hint="eastAsia"/>
          <w:color w:val="000000" w:themeColor="text1"/>
          <w:sz w:val="36"/>
          <w:szCs w:val="36"/>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52AA4"/>
    <w:rsid w:val="03090998"/>
    <w:rsid w:val="0CA0066F"/>
    <w:rsid w:val="122F3F7F"/>
    <w:rsid w:val="14C35979"/>
    <w:rsid w:val="204D6A07"/>
    <w:rsid w:val="20E75BB4"/>
    <w:rsid w:val="224B2EDF"/>
    <w:rsid w:val="261D1DC7"/>
    <w:rsid w:val="2DBF542A"/>
    <w:rsid w:val="33752AD5"/>
    <w:rsid w:val="426B7A21"/>
    <w:rsid w:val="460B1908"/>
    <w:rsid w:val="4CF52D14"/>
    <w:rsid w:val="4E5849A5"/>
    <w:rsid w:val="50A7688B"/>
    <w:rsid w:val="625C4625"/>
    <w:rsid w:val="66B720A2"/>
    <w:rsid w:val="67952AA4"/>
    <w:rsid w:val="6B2A2988"/>
    <w:rsid w:val="6C6C50FB"/>
    <w:rsid w:val="78051428"/>
    <w:rsid w:val="78671BA3"/>
    <w:rsid w:val="7AB70A5D"/>
    <w:rsid w:val="7AFF6F75"/>
    <w:rsid w:val="7FCE15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2017-02-20T07:49:00Z</dcterms:created>
  <dc:creator>asus</dc:creator>
  <cp:lastModifiedBy>asus</cp:lastModifiedBy>
  <dcterms:modified xsi:type="dcterms:W3CDTF">2017-04-13T04:28:38Z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